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65</w:t>
      </w:r>
    </w:p>
    <w:p>
      <w:r>
        <w:t>Bundesgericht (BGE), 2011-10-07, DE</w:t>
      </w:r>
    </w:p>
    <w:p>
      <w:r>
        <w:rPr>
          <w:b/>
        </w:rPr>
        <w:t xml:space="preserve">Quelle: </w:t>
      </w:r>
      <w:r>
        <w:t>https://mcp.opencaselaw.ch/entscheid/bge_147 V 65</w:t>
      </w:r>
    </w:p>
    <w:p>
      <w:r>
        <w:t>FR: ATF 147 V 65</w:t>
      </w:r>
    </w:p>
    <w:p>
      <w:r>
        <w:t>IT: DTF 147 V 65</w:t>
      </w:r>
    </w:p>
    <w:p>
      <w:pPr>
        <w:pStyle w:val="Heading2"/>
      </w:pPr>
      <w:r>
        <w:t>Regeste</w:t>
      </w:r>
    </w:p>
    <w:p>
      <w:r>
        <w:t>Regeste Art. 61 lit. i ATSG; Art. 58 Abs. 2 und Art. 81 ff. des Gesetzes des Kantons St. Gallen vom 16. Mai 1965 über die Verwaltungsrechtspflege (VRP); nachträgliche Auferlegung von Gutachterkosten. Für die Auferlegung von nachträglich in Rechnung gestellten Gutachterkosten bedarf es eines Rückkommenstitels. Im vorliegenden Fall schliesst das kantonale Recht die Wiedererwägung von Verwaltungsgerichtsentscheiden aus (Art. 58 Abs. 2 VRP) und sieht keine Wiederaufnahme des Verfahrens nach Art. 81 ff. VRP von Amtes wegen vor (E. 4).</w:t>
      </w:r>
    </w:p>
    <w:p>
      <w:pPr>
        <w:pStyle w:val="Heading2"/>
      </w:pPr>
      <w:r>
        <w:t>Erwägungen</w:t>
      </w:r>
    </w:p>
    <w:p>
      <w:r>
        <w:rPr>
          <w:b/>
        </w:rPr>
        <w:t>E. 2</w:t>
      </w:r>
    </w:p>
    <w:p>
      <w:r>
        <w:t>Streitig ist, ob die Vorinstanz Bundesrecht verletzte, indem sie der IV-Stelle mit Entscheid vom 16. Juli 2020 die nachträglich in Rechnung gestellten Kosten für die Ergänzung des Gerichtsgutachtens auferlegte.</w:t>
      </w:r>
    </w:p>
    <w:p>
      <w:r>
        <w:rPr>
          <w:b/>
        </w:rPr>
        <w:t>E. 3.1</w:t>
      </w:r>
    </w:p>
    <w:p>
      <w:r>
        <w:t>Die IV-Stelle macht geltend, die Vorinstanz habe ihre Begründungspflicht verletzt, indem sie nicht darlege, auf welche rechtliche Grundlage sich die Korrektur des rechtskräftigen Entscheids stütze.</w:t>
      </w:r>
    </w:p>
    <w:p>
      <w:r>
        <w:rPr>
          <w:b/>
        </w:rPr>
        <w:t>E. 3.2</w:t>
      </w:r>
    </w:p>
    <w:p>
      <w:r>
        <w:t>Entscheide, die der Beschwerde an das Bundesgericht unterliegen, haben u.a. die massgebenden Gründe tatsächlicher und rechtlicher Art, insbesondere die Angabe der angewendeten Gesetzesbestimmungen, zu enthalten ( Art. 112 Abs. 1 lit. b BGG ). Zwar führt die Vorinstanz aus, dass gestützt auf Art. 45 ATSG die Kosten eines Gerichtsgutachtens grundsätzlich der IV-Stelle auferlegt werden können. Damit ist aber noch nichts gesagt über die rechtliche Grundlage für ihr Zurückkommen auf den rechtskräftigen Entscheid vom 11. Dezember 2019. Daran ändert auch der Verweis auf das Verfahren nach Art. 18 des Reglements vom 15. März 2017 über Organisation und Geschäftsgang des Versicherungsgerichts des Kantons St. Gallen (sGS 941.114) nichts, da es dabei nur um die Zuständigkeit des Einzelrichters geht, nicht jedoch um die Zulässigkeit des Zurückkommens auf einen rechtskräftigen Entscheid. Ebenso wenig vermag die ausführliche Stellungnahme der Vorinstanz im bundesgerichtlichen Verfahren nachträglich die Anforderungen an die Begründung zu erfüllen. Der Entscheid vom 16. Juli 2020 genügt insofern den Anforderungen von Art. 112 Abs. 1 lit. b BGG nicht. Dies stellt zugleich eine Verletzung der Begründungspflicht nach Art. 29 Abs. 2 BV dar (vgl. dazu etwa Urteil 8C_776/2018 vom 9. Mai 2019 E. 5.2 mit Hinweisen), die auch von der IV-Stelle gerügt werden kann (vgl. etwa die Urteile 8C_746/2019 vom 1. Mai 2020 E. 5 in fine; 9C_856/2016 vom 9. März 2017 E. 3.1 und 3.3 sowie 8C_79/2014 vom 23. Juni 2014 E. 4.1 und 4.2; je mit Hinweisen). BGE 147 V 65 S. 68</w:t>
      </w:r>
    </w:p>
    <w:p>
      <w:r>
        <w:rPr>
          <w:b/>
        </w:rPr>
        <w:t>E. 4.1</w:t>
      </w:r>
    </w:p>
    <w:p>
      <w:r>
        <w:t>Wie die Vorinstanz im Entscheid vom 16. Juli 2020 ausführt, ist ihr Entscheid vom 11. Dezember 2019 nach dem Nichteintretensurteil 8C_105/2020 des Bundesgerichts vom 2. Juni 2020 in Rechtskraft erwachsen. Dies bedeutet, dass das Rechtsverhältnis zwischen dem Beschwerdegegner und der IV-Stelle hinsichtlich der Revision der Invalidenrente und den damit zusammenhängenden Abklärungskosten abschliessend geregelt worden ist. Demzufolge braucht es für eine "Ergänzung" dieses Entscheids einen Rückkommenstitel. Die Vorinstanz stellt sich in ihrer Stellungnahme vor Bundesgericht auf den Standpunkt, es handle sich bei ihrem Vorgehen um eine blosse Berichtigung nach Art. 93 septies des Gesetzes des Kantons St. Gallen vom 16. Mai 1965 über die Verwaltungsrechtspflege (VRP; sGS 951.1), zu deren Vornahme sie von Amtes wegen berechtigt sei.</w:t>
      </w:r>
    </w:p>
    <w:p>
      <w:r>
        <w:rPr>
          <w:b/>
        </w:rPr>
        <w:t>E. 4.2</w:t>
      </w:r>
    </w:p>
    <w:p>
      <w:r>
        <w:t>Dieser Ansicht kann nicht gefolgt werden. Denn der Rechtsbehelf der Berichtigung dient dazu, offenkundige Versehen eines Entscheids, wie Schreibfehler, Rechnungsirrtümer oder irrige Bezeichnung der Beteiligten, zu berichtigen ( Art. 93 septies Abs. 1 VRP ). Im vorliegenden Fall geht es aber nicht darum, einen Rechnungsfehler zu korrigieren. Vielmehr werden mit dem Entscheid vom 16. Juli 2020 der IV-Stelle zusätzliche Kosten auferlegt, die von der Gutachterstelle erst nach dessen Erlass geltend gemacht wurden und von denen folglich im Entscheid vom 11. Dezember 2019 nicht die Rede war. Somit wird mit dem Entscheid vom 16. Juli 2020 nicht etwas klargestellt, was sich bereits aus jenem vom 11. Dezember 2019 ergeben würde, aber bloss falsch berechnet worden wäre, sondern es werden der IV-Stelle zusätzliche Pflichten auferlegt, indem sie weitere Kosten zu übernehmen hat. Daran ändert auch der Verweis der Vorinstanz in ihrer Stellungnahme vor Bundesgericht auf Art. 129 Abs. 1 BGG sowie auf das Urteil 9G_1/2020 vom 26. Mai 2020 nichts. Denn dabei ging es nicht um die Auferlegung zusätzlicher Pflichten an eine Partei, sondern um eine blosse Ergänzung des Dispositivs, welche sich aus den vorausgegangenen Erwägungen ergab, jedoch vergessen gegangen war. Auch handelte es sich dabei nicht um eine Berichtigung, sondern um eine mit Art. 93 quater VRP vergleichbare Erläuterung. Im Rahmen der Rechtsanwendung von Amtes wegen ( Art. 106 Abs. 1 BGG ) bleibt daher zu prüfen, ob anderweitig ein Rückkommenstitel ersichtlich ist.</w:t>
      </w:r>
    </w:p>
    <w:p>
      <w:r>
        <w:rPr>
          <w:b/>
        </w:rPr>
        <w:t>E. 4.3</w:t>
      </w:r>
    </w:p>
    <w:p>
      <w:r>
        <w:t>Nicht in Frage kommt eine Wiedererwägung. Denn einerseits gelten für das Zurückkommen auf einen Gerichtsentscheid strengere BGE 147 V 65 S. 69 Regeln als für das Zurückkommen auf eine Verwaltungsverfügung, da eine Rechtsanwendung durch ein unabhängiges Gericht grössere Gewähr für ein richtiges Ergebnis bietet als jene durch die am Rechtsverhältnis als Partei beteiligte Verwaltung (FRITZ GYGI, Verwaltungsrecht, 1986, S. 308). Andererseits sieht das ATSG die Möglichkeit einer Wiedererwägung bezüglich Entscheiden der Sozialversicherungsgerichte nicht vor und das kantonale Recht schliesst eine Wiedererwägung von Versicherungsgerichtsentscheiden aus ( Art. 58 Abs. 2 VRP ; vgl. dazu Entscheide des Versicherungsgerichts UV2016/22 und UV2016/60 vom 22. Februar 2019 E. 1.5 sowie bereits St. Gallische Gerichts- und Verwaltungspraxis [GVP] 1967 Nr. 25).</w:t>
      </w:r>
    </w:p>
    <w:p>
      <w:r>
        <w:rPr>
          <w:b/>
        </w:rPr>
        <w:t>E. 4.4</w:t>
      </w:r>
    </w:p>
    <w:p>
      <w:r>
        <w:t>Denkbar wäre schliesslich eine Wiederaufnahme des Verfahrens nach Art. 81 ff. VRP (vgl. dazu Art. 61 lit. i ATSG ). Allerdings ergibt sich aus dem Wortlaut der Bestimmungen nicht, dass dies auch von Amtes wegen erfolgen könnte; vielmehr setzt das Gesetz ein entsprechendes Gesuch voraus (Wiederaufnahmebegehren; vgl. dazu explizit Art. 81 Abs. 2 und Art. 82 Abs. 1 VRP ). Nach CAVELTI/VÖGELI besteht die Wiederaufnahme von Amtes wegen nur als Besonderheit im Steuerrevisionsverfahren (Verwaltungsgerichtsbarkeit im Kanton St. Gallen, 2. Aufl. 2003, Rz. 1203). Anzufügen bleibt, dass nur Tatsachen, die zur Zeit der Erstbeurteilung bereits bestanden haben, sowie Beweismittel zu solchen Tatsachen revisionsbegründend sein können (CAVELTI/VÖGELI, a.a.O., Rz. 1192). Nachdem das Spital B. erst nach Erlass des Entscheids vom 11. Dezember 2019 Rechnung stellte, wäre auch kein zulässiger Revisionsgrund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